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00" w:lineRule="auto"/>
        <w:ind w:right="-20"/>
        <w:jc w:val="both"/>
        <w:rPr>
          <w:sz w:val="22"/>
          <w:szCs w:val="22"/>
          <w:highlight w:val="white"/>
        </w:rPr>
      </w:pPr>
      <w:bookmarkStart w:colFirst="0" w:colLast="0" w:name="_heading=h.gjdgxs" w:id="0"/>
      <w:bookmarkEnd w:id="0"/>
      <w:r w:rsidDel="00000000" w:rsidR="00000000" w:rsidRPr="00000000">
        <w:rPr>
          <w:rFonts w:ascii="Arial" w:cs="Arial" w:eastAsia="Arial" w:hAnsi="Arial"/>
          <w:b w:val="1"/>
          <w:u w:val="single"/>
          <w:rtl w:val="0"/>
        </w:rPr>
        <w:t xml:space="preserve">Dichiarazione di assenza cause di incompatibilità </w:t>
      </w:r>
      <w:r w:rsidDel="00000000" w:rsidR="00000000" w:rsidRPr="00000000">
        <w:rPr>
          <w:sz w:val="22"/>
          <w:szCs w:val="22"/>
          <w:highlight w:val="white"/>
          <w:rtl w:val="0"/>
        </w:rPr>
        <w:t xml:space="preserve"> </w:t>
      </w:r>
      <w:r w:rsidDel="00000000" w:rsidR="00000000" w:rsidRPr="00000000">
        <w:rPr>
          <w:rtl w:val="0"/>
        </w:rPr>
      </w:r>
    </w:p>
    <w:p w:rsidR="00000000" w:rsidDel="00000000" w:rsidP="00000000" w:rsidRDefault="00000000" w:rsidRPr="00000000" w14:paraId="00000002">
      <w:pPr>
        <w:widowControl w:val="0"/>
        <w:spacing w:line="338" w:lineRule="auto"/>
        <w:ind w:right="128"/>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Agli Atti</w:t>
      </w:r>
    </w:p>
    <w:p w:rsidR="00000000" w:rsidDel="00000000" w:rsidP="00000000" w:rsidRDefault="00000000" w:rsidRPr="00000000" w14:paraId="00000003">
      <w:pPr>
        <w:widowControl w:val="0"/>
        <w:spacing w:line="338" w:lineRule="auto"/>
        <w:ind w:left="5658" w:right="130" w:firstLine="1422.9999999999995"/>
        <w:jc w:val="righ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All'Albo online </w:t>
      </w:r>
    </w:p>
    <w:p w:rsidR="00000000" w:rsidDel="00000000" w:rsidP="00000000" w:rsidRDefault="00000000" w:rsidRPr="00000000" w14:paraId="00000004">
      <w:pPr>
        <w:spacing w:line="259" w:lineRule="auto"/>
        <w:rPr>
          <w:sz w:val="24"/>
          <w:szCs w:val="24"/>
        </w:rPr>
      </w:pPr>
      <w:r w:rsidDel="00000000" w:rsidR="00000000" w:rsidRPr="00000000">
        <w:rPr>
          <w:rtl w:val="0"/>
        </w:rPr>
      </w:r>
    </w:p>
    <w:p w:rsidR="00000000" w:rsidDel="00000000" w:rsidP="00000000" w:rsidRDefault="00000000" w:rsidRPr="00000000" w14:paraId="00000005">
      <w:pPr>
        <w:spacing w:line="259" w:lineRule="auto"/>
        <w:jc w:val="both"/>
        <w:rPr>
          <w:rFonts w:ascii="Calibri" w:cs="Calibri" w:eastAsia="Calibri" w:hAnsi="Calibri"/>
          <w:color w:val="212529"/>
          <w:sz w:val="22"/>
          <w:szCs w:val="22"/>
        </w:rPr>
      </w:pPr>
      <w:r w:rsidDel="00000000" w:rsidR="00000000" w:rsidRPr="00000000">
        <w:rPr>
          <w:rFonts w:ascii="Calibri" w:cs="Calibri" w:eastAsia="Calibri" w:hAnsi="Calibri"/>
          <w:b w:val="1"/>
          <w:i w:val="1"/>
          <w:sz w:val="26"/>
          <w:szCs w:val="26"/>
          <w:rtl w:val="0"/>
        </w:rPr>
        <w:t xml:space="preserve">OGGETTO: DICHIARAZIONE DI INSUSSISTENZA CAUSE DI INCOMPATIBILITÀ  E DI CONFLITTO DI INTERESSE PER IL RUOLO DI MEMBRO DEL TEAM DI PROGETTO</w:t>
      </w:r>
      <w:r w:rsidDel="00000000" w:rsidR="00000000" w:rsidRPr="00000000">
        <w:rPr>
          <w:sz w:val="24"/>
          <w:szCs w:val="24"/>
          <w:rtl w:val="0"/>
        </w:rPr>
        <w:t xml:space="preserve"> </w:t>
      </w:r>
      <w:r w:rsidDel="00000000" w:rsidR="00000000" w:rsidRPr="00000000">
        <w:rPr>
          <w:rFonts w:ascii="Calibri" w:cs="Calibri" w:eastAsia="Calibri" w:hAnsi="Calibri"/>
          <w:sz w:val="22"/>
          <w:szCs w:val="22"/>
          <w:rtl w:val="0"/>
        </w:rPr>
        <w:t xml:space="preserve">PNRR Missione 4 “Istruzione e ricerca” –</w:t>
      </w:r>
      <w:r w:rsidDel="00000000" w:rsidR="00000000" w:rsidRPr="00000000">
        <w:rPr>
          <w:rFonts w:ascii="Calibri" w:cs="Calibri" w:eastAsia="Calibri" w:hAnsi="Calibri"/>
          <w:color w:val="212529"/>
          <w:sz w:val="22"/>
          <w:szCs w:val="22"/>
          <w:rtl w:val="0"/>
        </w:rPr>
        <w:t xml:space="preserve">Competenze STEM e multilinguistiche nelle scuole statali (D.M. 65/2023)</w:t>
      </w:r>
      <w:r w:rsidDel="00000000" w:rsidR="00000000" w:rsidRPr="00000000">
        <w:rPr>
          <w:rFonts w:ascii="Calibri" w:cs="Calibri" w:eastAsia="Calibri" w:hAnsi="Calibri"/>
          <w:color w:val="404040"/>
          <w:sz w:val="22"/>
          <w:szCs w:val="22"/>
          <w:rtl w:val="0"/>
        </w:rPr>
        <w:t xml:space="preserve"> </w:t>
      </w:r>
      <w:r w:rsidDel="00000000" w:rsidR="00000000" w:rsidRPr="00000000">
        <w:rPr>
          <w:rFonts w:ascii="Calibri" w:cs="Calibri" w:eastAsia="Calibri" w:hAnsi="Calibri"/>
          <w:color w:val="212529"/>
          <w:sz w:val="22"/>
          <w:szCs w:val="22"/>
          <w:rtl w:val="0"/>
        </w:rPr>
        <w:t xml:space="preserve">Azioni di integrazione, all’interno dei curricula di tutti i cicli scolastici, di attività, metodologie e contenuti volti a sviluppare le competenze STEM, digitali e di innovazione, e di potenziamento delle competenze multilinguistiche di studenti e insegnanti. Istruzioni operative prot. n. 132935 del 15 novembre 2023. </w:t>
      </w:r>
      <w:r w:rsidDel="00000000" w:rsidR="00000000" w:rsidRPr="00000000">
        <w:rPr>
          <w:rFonts w:ascii="Calibri" w:cs="Calibri" w:eastAsia="Calibri" w:hAnsi="Calibri"/>
          <w:color w:val="404040"/>
          <w:sz w:val="22"/>
          <w:szCs w:val="22"/>
          <w:rtl w:val="0"/>
        </w:rPr>
        <w:t xml:space="preserve">Linea di investimento </w:t>
      </w:r>
      <w:r w:rsidDel="00000000" w:rsidR="00000000" w:rsidRPr="00000000">
        <w:rPr>
          <w:rFonts w:ascii="Calibri" w:cs="Calibri" w:eastAsia="Calibri" w:hAnsi="Calibri"/>
          <w:color w:val="212529"/>
          <w:sz w:val="22"/>
          <w:szCs w:val="22"/>
          <w:rtl w:val="0"/>
        </w:rPr>
        <w:t xml:space="preserve">M4C1I3.1 - Nuove competenze e nuovi linguaggi; </w:t>
      </w:r>
      <w:r w:rsidDel="00000000" w:rsidR="00000000" w:rsidRPr="00000000">
        <w:rPr>
          <w:rFonts w:ascii="Calibri" w:cs="Calibri" w:eastAsia="Calibri" w:hAnsi="Calibri"/>
          <w:color w:val="404040"/>
          <w:sz w:val="22"/>
          <w:szCs w:val="22"/>
          <w:rtl w:val="0"/>
        </w:rPr>
        <w:t xml:space="preserve">Codice avviso </w:t>
      </w:r>
      <w:r w:rsidDel="00000000" w:rsidR="00000000" w:rsidRPr="00000000">
        <w:rPr>
          <w:rFonts w:ascii="Calibri" w:cs="Calibri" w:eastAsia="Calibri" w:hAnsi="Calibri"/>
          <w:color w:val="212529"/>
          <w:sz w:val="22"/>
          <w:szCs w:val="22"/>
          <w:rtl w:val="0"/>
        </w:rPr>
        <w:t xml:space="preserve">M4C1I3.1-2023-1143</w:t>
      </w:r>
    </w:p>
    <w:p w:rsidR="00000000" w:rsidDel="00000000" w:rsidP="00000000" w:rsidRDefault="00000000" w:rsidRPr="00000000" w14:paraId="00000006">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CUP: </w:t>
        <w:tab/>
        <w:tab/>
        <w:t xml:space="preserve">    </w:t>
        <w:tab/>
      </w:r>
      <w:r w:rsidDel="00000000" w:rsidR="00000000" w:rsidRPr="00000000">
        <w:rPr>
          <w:rFonts w:ascii="Calibri" w:cs="Calibri" w:eastAsia="Calibri" w:hAnsi="Calibri"/>
          <w:highlight w:val="white"/>
          <w:rtl w:val="0"/>
        </w:rPr>
        <w:t xml:space="preserve">I64D23002320006</w:t>
      </w:r>
      <w:r w:rsidDel="00000000" w:rsidR="00000000" w:rsidRPr="00000000">
        <w:rPr>
          <w:rtl w:val="0"/>
        </w:rPr>
      </w:r>
    </w:p>
    <w:p w:rsidR="00000000" w:rsidDel="00000000" w:rsidP="00000000" w:rsidRDefault="00000000" w:rsidRPr="00000000" w14:paraId="00000007">
      <w:pPr>
        <w:spacing w:after="16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PROGETTO:</w:t>
        <w:tab/>
      </w:r>
      <w:r w:rsidDel="00000000" w:rsidR="00000000" w:rsidRPr="00000000">
        <w:rPr>
          <w:rFonts w:ascii="Calibri" w:cs="Calibri" w:eastAsia="Calibri" w:hAnsi="Calibri"/>
          <w:color w:val="212529"/>
          <w:sz w:val="22"/>
          <w:szCs w:val="22"/>
          <w:highlight w:val="white"/>
          <w:rtl w:val="0"/>
        </w:rPr>
        <w:t xml:space="preserve">M4C1I3.1-2023-1143-P-28015</w:t>
      </w: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pStyle w:val="Heading2"/>
        <w:keepLines w:val="1"/>
        <w:widowControl w:val="0"/>
        <w:pBdr>
          <w:top w:color="000000" w:space="0" w:sz="0" w:val="none"/>
          <w:left w:color="000000" w:space="0" w:sz="0" w:val="none"/>
          <w:bottom w:color="000000" w:space="0" w:sz="0" w:val="none"/>
          <w:right w:color="000000" w:space="0" w:sz="0" w:val="none"/>
        </w:pBdr>
        <w:shd w:fill="auto" w:val="clear"/>
        <w:spacing w:before="40" w:lineRule="auto"/>
        <w:ind w:right="0"/>
        <w:jc w:val="both"/>
        <w:rPr>
          <w:rFonts w:ascii="Calibri" w:cs="Calibri" w:eastAsia="Calibri" w:hAnsi="Calibri"/>
          <w:color w:val="366091"/>
          <w:sz w:val="22"/>
          <w:szCs w:val="22"/>
        </w:rPr>
      </w:pPr>
      <w:r w:rsidDel="00000000" w:rsidR="00000000" w:rsidRPr="00000000">
        <w:rPr>
          <w:rtl w:val="0"/>
        </w:rPr>
      </w:r>
    </w:p>
    <w:p w:rsidR="00000000" w:rsidDel="00000000" w:rsidP="00000000" w:rsidRDefault="00000000" w:rsidRPr="00000000" w14:paraId="0000000A">
      <w:pPr>
        <w:widowControl w:val="0"/>
        <w:spacing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(resa nelle forme di cui agli artt. 46 e 47 del d.P.R. n. 445 del 28 dicembre 2000)</w:t>
      </w:r>
    </w:p>
    <w:p w:rsidR="00000000" w:rsidDel="00000000" w:rsidP="00000000" w:rsidRDefault="00000000" w:rsidRPr="00000000" w14:paraId="0000000B">
      <w:pPr>
        <w:widowControl w:val="0"/>
        <w:spacing w:line="312" w:lineRule="auto"/>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0C">
      <w:pPr>
        <w:widowControl w:val="0"/>
        <w:spacing w:after="120" w:before="120" w:line="276" w:lineRule="auto"/>
        <w:jc w:val="both"/>
        <w:rPr>
          <w:sz w:val="24"/>
          <w:szCs w:val="24"/>
        </w:rPr>
      </w:pPr>
      <w:bookmarkStart w:colFirst="0" w:colLast="0" w:name="_heading=h.30j0zll" w:id="1"/>
      <w:bookmarkEnd w:id="1"/>
      <w:r w:rsidDel="00000000" w:rsidR="00000000" w:rsidRPr="00000000">
        <w:rPr>
          <w:sz w:val="24"/>
          <w:szCs w:val="24"/>
          <w:rtl w:val="0"/>
        </w:rPr>
        <w:t xml:space="preserve">Il/La sottoscritto/a _____________________________________ nato/a a _______________ il_________________ residente a______________________ Provincia di ___________________ Via/Piazza _______________________________________________ n. _________ Codice Fiscale _____________________________________, in qualità di _________________________________________ </w:t>
      </w:r>
    </w:p>
    <w:p w:rsidR="00000000" w:rsidDel="00000000" w:rsidP="00000000" w:rsidRDefault="00000000" w:rsidRPr="00000000" w14:paraId="0000000D">
      <w:pPr>
        <w:widowControl w:val="0"/>
        <w:spacing w:line="312" w:lineRule="auto"/>
        <w:rPr>
          <w:sz w:val="24"/>
          <w:szCs w:val="24"/>
          <w:u w:val="single"/>
        </w:rPr>
      </w:pPr>
      <w:r w:rsidDel="00000000" w:rsidR="00000000" w:rsidRPr="00000000">
        <w:rPr>
          <w:rtl w:val="0"/>
        </w:rPr>
      </w:r>
    </w:p>
    <w:p w:rsidR="00000000" w:rsidDel="00000000" w:rsidP="00000000" w:rsidRDefault="00000000" w:rsidRPr="00000000" w14:paraId="0000000E">
      <w:pPr>
        <w:pStyle w:val="Heading2"/>
        <w:keepLines w:val="1"/>
        <w:widowControl w:val="0"/>
        <w:pBdr>
          <w:top w:color="000000" w:space="0" w:sz="0" w:val="none"/>
          <w:left w:color="000000" w:space="0" w:sz="0" w:val="none"/>
          <w:bottom w:color="000000" w:space="0" w:sz="0" w:val="none"/>
          <w:right w:color="000000" w:space="0" w:sz="0" w:val="none"/>
        </w:pBdr>
        <w:shd w:fill="auto" w:val="clear"/>
        <w:spacing w:before="40" w:lineRule="auto"/>
        <w:ind w:right="0"/>
        <w:jc w:val="both"/>
        <w:rPr>
          <w:b w:val="0"/>
          <w:sz w:val="24"/>
          <w:szCs w:val="24"/>
        </w:rPr>
      </w:pPr>
      <w:r w:rsidDel="00000000" w:rsidR="00000000" w:rsidRPr="00000000">
        <w:rPr>
          <w:b w:val="0"/>
          <w:sz w:val="24"/>
          <w:szCs w:val="24"/>
          <w:rtl w:val="0"/>
        </w:rPr>
        <w:t xml:space="preserve">in relazione all’incarico in oggetto,  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rsidR="00000000" w:rsidDel="00000000" w:rsidP="00000000" w:rsidRDefault="00000000" w:rsidRPr="00000000" w14:paraId="0000000F">
      <w:pPr>
        <w:widowControl w:val="0"/>
        <w:spacing w:after="120"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0">
      <w:pPr>
        <w:widowControl w:val="0"/>
        <w:spacing w:after="120" w:before="120" w:lineRule="auto"/>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w:t>
      </w:r>
    </w:p>
    <w:p w:rsidR="00000000" w:rsidDel="00000000" w:rsidP="00000000" w:rsidRDefault="00000000" w:rsidRPr="00000000" w14:paraId="00000011">
      <w:pPr>
        <w:widowControl w:val="0"/>
        <w:spacing w:after="120" w:before="120" w:lineRule="auto"/>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numPr>
          <w:ilvl w:val="0"/>
          <w:numId w:val="1"/>
        </w:numPr>
        <w:spacing w:before="120" w:line="276" w:lineRule="auto"/>
        <w:ind w:left="709"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non trovarsi in situazione di incompatibilità, ai sensi di quanto previsto dal d.lgs. n. 39/2013 e dall’art. 53, del d.lgs. n. 165/2001; </w:t>
      </w:r>
    </w:p>
    <w:p w:rsidR="00000000" w:rsidDel="00000000" w:rsidP="00000000" w:rsidRDefault="00000000" w:rsidRPr="00000000" w14:paraId="00000013">
      <w:pPr>
        <w:spacing w:line="276" w:lineRule="auto"/>
        <w:ind w:left="709" w:hanging="284"/>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14">
      <w:pPr>
        <w:numPr>
          <w:ilvl w:val="0"/>
          <w:numId w:val="1"/>
        </w:numPr>
        <w:spacing w:line="276" w:lineRule="auto"/>
        <w:ind w:left="709"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non trovarsi in situazioni di conflitto di interessi, anche potenziale, ai sensi dell’art. 53, comma 14, del d.lgs. n. 165/2001, che possano interferire con l’esercizio dell’incarico;</w:t>
      </w:r>
    </w:p>
    <w:p w:rsidR="00000000" w:rsidDel="00000000" w:rsidP="00000000" w:rsidRDefault="00000000" w:rsidRPr="00000000" w14:paraId="00000015">
      <w:pPr>
        <w:numPr>
          <w:ilvl w:val="0"/>
          <w:numId w:val="1"/>
        </w:numPr>
        <w:spacing w:line="276" w:lineRule="auto"/>
        <w:ind w:left="709"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000000" w:rsidDel="00000000" w:rsidP="00000000" w:rsidRDefault="00000000" w:rsidRPr="00000000" w14:paraId="00000016">
      <w:pPr>
        <w:numPr>
          <w:ilvl w:val="0"/>
          <w:numId w:val="1"/>
        </w:numPr>
        <w:spacing w:line="276" w:lineRule="auto"/>
        <w:ind w:left="709"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aver preso piena cognizione del D.M. 26 aprile 2022, n. 105, recante il Codice di Comportamento dei dipendenti del Ministero dell’istruzione e del merito;</w:t>
      </w:r>
    </w:p>
    <w:p w:rsidR="00000000" w:rsidDel="00000000" w:rsidP="00000000" w:rsidRDefault="00000000" w:rsidRPr="00000000" w14:paraId="00000017">
      <w:pPr>
        <w:numPr>
          <w:ilvl w:val="0"/>
          <w:numId w:val="1"/>
        </w:numPr>
        <w:spacing w:line="276" w:lineRule="auto"/>
        <w:ind w:left="709"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impegnarsi a comunicare tempestivamente all’Istituzione scolastica conferente eventuali variazioni che dovessero intervenire nel corso dello svolgimento dell’incarico;</w:t>
      </w:r>
    </w:p>
    <w:p w:rsidR="00000000" w:rsidDel="00000000" w:rsidP="00000000" w:rsidRDefault="00000000" w:rsidRPr="00000000" w14:paraId="00000018">
      <w:pPr>
        <w:numPr>
          <w:ilvl w:val="0"/>
          <w:numId w:val="1"/>
        </w:numPr>
        <w:spacing w:line="276" w:lineRule="auto"/>
        <w:ind w:left="709"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impegnarsi altresì a comunicare all’Istituzione scolastica qualsiasi altra circostanza sopravvenuta di carattere ostativo rispetto all’espletamento dell’incarico;</w:t>
      </w:r>
    </w:p>
    <w:p w:rsidR="00000000" w:rsidDel="00000000" w:rsidP="00000000" w:rsidRDefault="00000000" w:rsidRPr="00000000" w14:paraId="00000019">
      <w:pPr>
        <w:numPr>
          <w:ilvl w:val="0"/>
          <w:numId w:val="1"/>
        </w:numPr>
        <w:spacing w:line="276" w:lineRule="auto"/>
        <w:ind w:left="709"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000000" w:rsidDel="00000000" w:rsidP="00000000" w:rsidRDefault="00000000" w:rsidRPr="00000000" w14:paraId="0000001A">
      <w:pPr>
        <w:spacing w:after="120" w:line="276" w:lineRule="auto"/>
        <w:ind w:left="709" w:hanging="284"/>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pacing w:after="120" w:before="120" w:lineRule="auto"/>
        <w:jc w:val="right"/>
        <w:rPr>
          <w:rFonts w:ascii="Calibri" w:cs="Calibri" w:eastAsia="Calibri" w:hAnsi="Calibri"/>
          <w:sz w:val="22"/>
          <w:szCs w:val="22"/>
        </w:rPr>
      </w:pPr>
      <w:bookmarkStart w:colFirst="0" w:colLast="0" w:name="_heading=h.1fob9te" w:id="2"/>
      <w:bookmarkEnd w:id="2"/>
      <w:r w:rsidDel="00000000" w:rsidR="00000000" w:rsidRPr="00000000">
        <w:rPr>
          <w:rFonts w:ascii="Calibri" w:cs="Calibri" w:eastAsia="Calibri" w:hAnsi="Calibri"/>
          <w:sz w:val="22"/>
          <w:szCs w:val="22"/>
          <w:rtl w:val="0"/>
        </w:rPr>
        <w:t xml:space="preserve">Paternò , lì </w:t>
      </w:r>
      <w:r w:rsidDel="00000000" w:rsidR="00000000" w:rsidRPr="00000000">
        <w:rPr>
          <w:rFonts w:ascii="Calibri" w:cs="Calibri" w:eastAsia="Calibri" w:hAnsi="Calibri"/>
          <w:sz w:val="24"/>
          <w:szCs w:val="24"/>
          <w:rtl w:val="0"/>
        </w:rPr>
        <w:t xml:space="preserve">                                                             F.to </w:t>
      </w:r>
      <w:r w:rsidDel="00000000" w:rsidR="00000000" w:rsidRPr="00000000">
        <w:rPr>
          <w:rFonts w:ascii="Calibri" w:cs="Calibri" w:eastAsia="Calibri" w:hAnsi="Calibri"/>
          <w:sz w:val="22"/>
          <w:szCs w:val="22"/>
          <w:rtl w:val="0"/>
        </w:rPr>
        <w:t xml:space="preserve">IL DICHIARANTE</w:t>
        <w:tab/>
        <w:tab/>
        <w:tab/>
        <w:tab/>
        <w:tab/>
        <w:tab/>
        <w:tab/>
        <w:t xml:space="preserve">         </w:t>
        <w:tab/>
        <w:t xml:space="preserve">              </w:t>
      </w:r>
    </w:p>
    <w:p w:rsidR="00000000" w:rsidDel="00000000" w:rsidP="00000000" w:rsidRDefault="00000000" w:rsidRPr="00000000" w14:paraId="0000001C">
      <w:pPr>
        <w:widowControl w:val="0"/>
        <w:spacing w:after="120" w:before="120" w:lineRule="auto"/>
        <w:ind w:left="495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w:t>
      </w:r>
    </w:p>
    <w:p w:rsidR="00000000" w:rsidDel="00000000" w:rsidP="00000000" w:rsidRDefault="00000000" w:rsidRPr="00000000" w14:paraId="0000001D">
      <w:pPr>
        <w:widowControl w:val="0"/>
        <w:spacing w:after="120" w:before="120" w:lineRule="auto"/>
        <w:jc w:val="both"/>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1E">
      <w:pPr>
        <w:spacing w:line="480" w:lineRule="auto"/>
        <w:jc w:val="both"/>
        <w:rPr>
          <w:sz w:val="24"/>
          <w:szCs w:val="24"/>
        </w:rPr>
      </w:pPr>
      <w:r w:rsidDel="00000000" w:rsidR="00000000" w:rsidRPr="00000000">
        <w:rPr>
          <w:rtl w:val="0"/>
        </w:rPr>
      </w:r>
    </w:p>
    <w:sectPr>
      <w:pgSz w:h="16838" w:w="11906" w:orient="portrait"/>
      <w:pgMar w:bottom="142" w:top="426" w:left="1056" w:right="926" w:header="0" w:footer="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1058" w:hanging="360"/>
      </w:pPr>
      <w:rPr/>
    </w:lvl>
    <w:lvl w:ilvl="1">
      <w:start w:val="1"/>
      <w:numFmt w:val="lowerLetter"/>
      <w:lvlText w:val="%2."/>
      <w:lvlJc w:val="left"/>
      <w:pPr>
        <w:ind w:left="1778" w:hanging="360"/>
      </w:pPr>
      <w:rPr/>
    </w:lvl>
    <w:lvl w:ilvl="2">
      <w:start w:val="1"/>
      <w:numFmt w:val="lowerRoman"/>
      <w:lvlText w:val="%3."/>
      <w:lvlJc w:val="right"/>
      <w:pPr>
        <w:ind w:left="2498" w:hanging="180"/>
      </w:pPr>
      <w:rPr/>
    </w:lvl>
    <w:lvl w:ilvl="3">
      <w:start w:val="1"/>
      <w:numFmt w:val="decimal"/>
      <w:lvlText w:val="%4."/>
      <w:lvlJc w:val="left"/>
      <w:pPr>
        <w:ind w:left="3218" w:hanging="360"/>
      </w:pPr>
      <w:rPr/>
    </w:lvl>
    <w:lvl w:ilvl="4">
      <w:start w:val="1"/>
      <w:numFmt w:val="lowerLetter"/>
      <w:lvlText w:val="%5."/>
      <w:lvlJc w:val="left"/>
      <w:pPr>
        <w:ind w:left="3938" w:hanging="360"/>
      </w:pPr>
      <w:rPr/>
    </w:lvl>
    <w:lvl w:ilvl="5">
      <w:start w:val="1"/>
      <w:numFmt w:val="lowerRoman"/>
      <w:lvlText w:val="%6."/>
      <w:lvlJc w:val="right"/>
      <w:pPr>
        <w:ind w:left="4658" w:hanging="180"/>
      </w:pPr>
      <w:rPr/>
    </w:lvl>
    <w:lvl w:ilvl="6">
      <w:start w:val="1"/>
      <w:numFmt w:val="decimal"/>
      <w:lvlText w:val="%7."/>
      <w:lvlJc w:val="left"/>
      <w:pPr>
        <w:ind w:left="5378" w:hanging="360"/>
      </w:pPr>
      <w:rPr/>
    </w:lvl>
    <w:lvl w:ilvl="7">
      <w:start w:val="1"/>
      <w:numFmt w:val="lowerLetter"/>
      <w:lvlText w:val="%8."/>
      <w:lvlJc w:val="left"/>
      <w:pPr>
        <w:ind w:left="6098" w:hanging="360"/>
      </w:pPr>
      <w:rPr/>
    </w:lvl>
    <w:lvl w:ilvl="8">
      <w:start w:val="1"/>
      <w:numFmt w:val="lowerRoman"/>
      <w:lvlText w:val="%9."/>
      <w:lvlJc w:val="right"/>
      <w:pPr>
        <w:ind w:left="681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320"/>
    </w:pPr>
    <w:rPr>
      <w:b w:val="1"/>
      <w:sz w:val="24"/>
      <w:szCs w:val="24"/>
    </w:rPr>
  </w:style>
  <w:style w:type="paragraph" w:styleId="Heading2">
    <w:name w:val="heading 2"/>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jc w:val="center"/>
    </w:pPr>
    <w:rPr>
      <w:b w:val="1"/>
    </w:rPr>
  </w:style>
  <w:style w:type="paragraph" w:styleId="Heading3">
    <w:name w:val="heading 3"/>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pPr>
    <w:rPr>
      <w:b w:val="1"/>
    </w:rPr>
  </w:style>
  <w:style w:type="paragraph" w:styleId="Heading6">
    <w:name w:val="heading 6"/>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320"/>
    </w:pPr>
    <w:rPr>
      <w:b w:val="1"/>
      <w:sz w:val="24"/>
      <w:szCs w:val="24"/>
    </w:rPr>
  </w:style>
  <w:style w:type="paragraph" w:styleId="Heading2">
    <w:name w:val="heading 2"/>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jc w:val="center"/>
    </w:pPr>
    <w:rPr>
      <w:b w:val="1"/>
    </w:rPr>
  </w:style>
  <w:style w:type="paragraph" w:styleId="Heading3">
    <w:name w:val="heading 3"/>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pPr>
    <w:rPr>
      <w:b w:val="1"/>
    </w:rPr>
  </w:style>
  <w:style w:type="paragraph" w:styleId="Heading6">
    <w:name w:val="heading 6"/>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320"/>
    </w:pPr>
    <w:rPr>
      <w:b w:val="1"/>
      <w:sz w:val="24"/>
      <w:szCs w:val="24"/>
    </w:rPr>
  </w:style>
  <w:style w:type="paragraph" w:styleId="Heading2">
    <w:name w:val="heading 2"/>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jc w:val="center"/>
    </w:pPr>
    <w:rPr>
      <w:b w:val="1"/>
    </w:rPr>
  </w:style>
  <w:style w:type="paragraph" w:styleId="Heading3">
    <w:name w:val="heading 3"/>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pPr>
    <w:rPr>
      <w:b w:val="1"/>
    </w:rPr>
  </w:style>
  <w:style w:type="paragraph" w:styleId="Heading6">
    <w:name w:val="heading 6"/>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320"/>
    </w:pPr>
    <w:rPr>
      <w:b w:val="1"/>
      <w:sz w:val="24"/>
      <w:szCs w:val="24"/>
    </w:rPr>
  </w:style>
  <w:style w:type="paragraph" w:styleId="Heading2">
    <w:name w:val="heading 2"/>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jc w:val="center"/>
    </w:pPr>
    <w:rPr>
      <w:b w:val="1"/>
    </w:rPr>
  </w:style>
  <w:style w:type="paragraph" w:styleId="Heading3">
    <w:name w:val="heading 3"/>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jc w:val="center"/>
    </w:pPr>
    <w:rPr>
      <w:rFonts w:ascii="Arial" w:cs="Arial" w:eastAsia="Arial" w:hAnsi="Arial"/>
      <w:b w:val="1"/>
      <w:sz w:val="36"/>
      <w:szCs w:val="36"/>
    </w:rPr>
  </w:style>
  <w:style w:type="paragraph" w:styleId="Heading4">
    <w:name w:val="heading 4"/>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jc w:val="center"/>
    </w:pPr>
    <w:rPr>
      <w:rFonts w:ascii="Arial" w:cs="Arial" w:eastAsia="Arial" w:hAnsi="Arial"/>
      <w:sz w:val="32"/>
      <w:szCs w:val="32"/>
    </w:rPr>
  </w:style>
  <w:style w:type="paragraph" w:styleId="Heading5">
    <w:name w:val="heading 5"/>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pPr>
    <w:rPr>
      <w:b w:val="1"/>
    </w:rPr>
  </w:style>
  <w:style w:type="paragraph" w:styleId="Heading6">
    <w:name w:val="heading 6"/>
    <w:basedOn w:val="Normal"/>
    <w:next w:val="Normal"/>
    <w:pPr>
      <w:keepNext w:val="1"/>
      <w:pBdr>
        <w:top w:color="000000" w:space="1" w:sz="4" w:val="single"/>
        <w:left w:color="000000" w:space="1" w:sz="4" w:val="single"/>
        <w:bottom w:color="000000" w:space="1" w:sz="4" w:val="single"/>
        <w:right w:color="000000" w:space="1" w:sz="4" w:val="single"/>
      </w:pBdr>
      <w:shd w:fill="e5e5e5" w:val="clear"/>
      <w:ind w:right="1133"/>
      <w:jc w:val="center"/>
    </w:pPr>
    <w:rPr>
      <w:rFonts w:ascii="Arial" w:cs="Arial" w:eastAsia="Arial" w:hAnsi="Arial"/>
      <w:b w:val="1"/>
      <w:sz w:val="32"/>
      <w:szCs w:val="32"/>
    </w:rPr>
  </w:style>
  <w:style w:type="paragraph" w:styleId="Title">
    <w:name w:val="Title"/>
    <w:basedOn w:val="Normal"/>
    <w:next w:val="Normal"/>
    <w:pPr>
      <w:jc w:val="center"/>
    </w:pPr>
    <w:rPr>
      <w:b w:val="1"/>
      <w:sz w:val="24"/>
      <w:szCs w:val="24"/>
    </w:rPr>
  </w:style>
  <w:style w:type="paragraph" w:styleId="Subtitle">
    <w:name w:val="Subtitle"/>
    <w:basedOn w:val="Normal"/>
    <w:next w:val="Normal"/>
    <w:pPr>
      <w:spacing w:after="60" w:lineRule="auto"/>
      <w:jc w:val="center"/>
    </w:pPr>
    <w:rPr>
      <w:rFonts w:ascii="Cambria" w:cs="Cambria" w:eastAsia="Cambria" w:hAnsi="Cambria"/>
      <w:i w:val="1"/>
      <w:sz w:val="24"/>
      <w:szCs w:val="24"/>
    </w:rPr>
  </w:style>
  <w:style w:type="paragraph" w:styleId="Subtitle">
    <w:name w:val="Subtitle"/>
    <w:basedOn w:val="Normal"/>
    <w:next w:val="Normal"/>
    <w:pPr>
      <w:spacing w:after="60" w:lineRule="auto"/>
      <w:jc w:val="center"/>
    </w:pPr>
    <w:rPr>
      <w:rFonts w:ascii="Cambria" w:cs="Cambria" w:eastAsia="Cambria" w:hAnsi="Cambria"/>
      <w:i w:val="1"/>
      <w:sz w:val="24"/>
      <w:szCs w:val="24"/>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60" w:lineRule="auto"/>
      <w:jc w:val="center"/>
    </w:pPr>
    <w:rPr>
      <w:rFonts w:ascii="Cambria" w:cs="Cambria" w:eastAsia="Cambria" w:hAnsi="Cambria"/>
      <w:i w:val="1"/>
      <w:sz w:val="24"/>
      <w:szCs w:val="24"/>
    </w:rPr>
  </w:style>
  <w:style w:type="paragraph" w:styleId="Subtitle">
    <w:name w:val="Subtitle"/>
    <w:basedOn w:val="Normal"/>
    <w:next w:val="Normal"/>
    <w:pPr>
      <w:spacing w:after="60" w:lineRule="auto"/>
      <w:jc w:val="center"/>
    </w:pPr>
    <w:rPr>
      <w:rFonts w:ascii="Cambria" w:cs="Cambria" w:eastAsia="Cambria" w:hAnsi="Cambria"/>
      <w:i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e2JL0JeR9L0hDvE/cvkiWc/r5g==">CgMxLjAyCGguZ2pkZ3hzMgloLjMwajB6bGwyCWguMWZvYjl0ZTgAciExREJPT1l6aV9LTG94NUJ3Q3pWbXpvNmF2clNYeXkwZmE=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ScaleCrop">
    <vt:lpwstr>false</vt:lpwstr>
  </property>
  <property fmtid="{D5CDD505-2E9C-101B-9397-08002B2CF9AE}" pid="4" name="Company">
    <vt:lpwstr>Hewlett-Packard Company</vt:lpwstr>
  </property>
  <property fmtid="{D5CDD505-2E9C-101B-9397-08002B2CF9AE}" pid="5" name="DocSecurity">
    <vt:lpwstr>0</vt:lpwstr>
  </property>
  <property fmtid="{D5CDD505-2E9C-101B-9397-08002B2CF9AE}" pid="6" name="HyperlinksChanged">
    <vt:lpwstr>false</vt:lpwstr>
  </property>
  <property fmtid="{D5CDD505-2E9C-101B-9397-08002B2CF9AE}" pid="7" name="LinksUpToDate">
    <vt:lpwstr>false</vt:lpwstr>
  </property>
  <property fmtid="{D5CDD505-2E9C-101B-9397-08002B2CF9AE}" pid="8" name="ShareDoc">
    <vt:lpwstr>false</vt:lpwstr>
  </property>
  <property fmtid="{D5CDD505-2E9C-101B-9397-08002B2CF9AE}" pid="9" name="AppVersion">
    <vt:lpwstr>16.0000</vt:lpwstr>
  </property>
  <property fmtid="{D5CDD505-2E9C-101B-9397-08002B2CF9AE}" pid="10" name="ScaleCrop">
    <vt:lpwstr>false</vt:lpwstr>
  </property>
  <property fmtid="{D5CDD505-2E9C-101B-9397-08002B2CF9AE}" pid="11" name="Company">
    <vt:lpwstr>Hewlett-Packard Company</vt:lpwstr>
  </property>
  <property fmtid="{D5CDD505-2E9C-101B-9397-08002B2CF9AE}" pid="12" name="DocSecurity">
    <vt:lpwstr>0</vt:lpwstr>
  </property>
  <property fmtid="{D5CDD505-2E9C-101B-9397-08002B2CF9AE}" pid="13" name="HyperlinksChanged">
    <vt:lpwstr>false</vt:lpwstr>
  </property>
  <property fmtid="{D5CDD505-2E9C-101B-9397-08002B2CF9AE}" pid="14" name="LinksUpToDate">
    <vt:lpwstr>false</vt:lpwstr>
  </property>
  <property fmtid="{D5CDD505-2E9C-101B-9397-08002B2CF9AE}" pid="15" name="ShareDoc">
    <vt:lpwstr>false</vt:lpwstr>
  </property>
  <property fmtid="{D5CDD505-2E9C-101B-9397-08002B2CF9AE}" pid="16" name="AppVersion">
    <vt:lpwstr>16.0000</vt:lpwstr>
  </property>
  <property fmtid="{D5CDD505-2E9C-101B-9397-08002B2CF9AE}" pid="17" name="ScaleCrop">
    <vt:lpwstr>false</vt:lpwstr>
  </property>
  <property fmtid="{D5CDD505-2E9C-101B-9397-08002B2CF9AE}" pid="18" name="Company">
    <vt:lpwstr>Hewlett-Packard Company</vt:lpwstr>
  </property>
  <property fmtid="{D5CDD505-2E9C-101B-9397-08002B2CF9AE}" pid="19" name="DocSecurity">
    <vt:lpwstr>0</vt:lpwstr>
  </property>
  <property fmtid="{D5CDD505-2E9C-101B-9397-08002B2CF9AE}" pid="20" name="HyperlinksChanged">
    <vt:lpwstr>false</vt:lpwstr>
  </property>
  <property fmtid="{D5CDD505-2E9C-101B-9397-08002B2CF9AE}" pid="21" name="LinksUpToDate">
    <vt:lpwstr>false</vt:lpwstr>
  </property>
  <property fmtid="{D5CDD505-2E9C-101B-9397-08002B2CF9AE}" pid="22" name="ShareDoc">
    <vt:lpwstr>false</vt:lpwstr>
  </property>
  <property fmtid="{D5CDD505-2E9C-101B-9397-08002B2CF9AE}" pid="23" name="AppVersion">
    <vt:lpwstr>16.0000</vt:lpwstr>
  </property>
  <property fmtid="{D5CDD505-2E9C-101B-9397-08002B2CF9AE}" pid="24" name="ScaleCrop">
    <vt:lpwstr>false</vt:lpwstr>
  </property>
  <property fmtid="{D5CDD505-2E9C-101B-9397-08002B2CF9AE}" pid="25" name="Company">
    <vt:lpwstr>Hewlett-Packard Company</vt:lpwstr>
  </property>
  <property fmtid="{D5CDD505-2E9C-101B-9397-08002B2CF9AE}" pid="26" name="DocSecurity">
    <vt:lpwstr>0</vt:lpwstr>
  </property>
  <property fmtid="{D5CDD505-2E9C-101B-9397-08002B2CF9AE}" pid="27" name="HyperlinksChanged">
    <vt:lpwstr>false</vt:lpwstr>
  </property>
  <property fmtid="{D5CDD505-2E9C-101B-9397-08002B2CF9AE}" pid="28" name="LinksUpToDate">
    <vt:lpwstr>false</vt:lpwstr>
  </property>
  <property fmtid="{D5CDD505-2E9C-101B-9397-08002B2CF9AE}" pid="29" name="ShareDoc">
    <vt:lpwstr>false</vt:lpwstr>
  </property>
</Properties>
</file>